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56" w:rsidRPr="00FC4E56" w:rsidRDefault="00FC4E56" w:rsidP="00FC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314"/>
        <w:gridCol w:w="5848"/>
      </w:tblGrid>
      <w:tr w:rsidR="00FC4E56" w:rsidRPr="00FC4E56" w:rsidTr="00FC4E56">
        <w:trPr>
          <w:gridAfter w:val="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" w:tgtFrame="_blank" w:history="1"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t>XXIII/4365/2010 - uchwała RIO w Rzeszowie z dnia 21-10-2010</w:t>
              </w:r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br/>
                <w:t>Niedopuszczalność określania trybu składania wniosków o realizację zadania publicznego z inicjatywy lokalnej</w:t>
              </w:r>
            </w:hyperlink>
          </w:p>
        </w:tc>
      </w:tr>
      <w:tr w:rsidR="00FC4E56" w:rsidRPr="00FC4E56" w:rsidTr="00FC4E5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Brakuje podstaw prawnych do określania przez organ stanowiący jednostki samorządu terytorialnego trybu składania przez mieszkańców jednostki samorządu terytorialnego bezpośrednio lub za pośrednictwem organizacji pozarządowych, lub podmiotów wymienionych w art. 3 ust. 3 ustawy z dnia 24 kwietnia 2003 r. o działalności pożytku publicznego i o wolontariacie (</w:t>
            </w:r>
            <w:proofErr w:type="spellStart"/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Dz.U</w:t>
            </w:r>
            <w:proofErr w:type="spellEnd"/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Nr 96, poz. 873 ze zm.) w ramach inicjatywy lokalnej wniosków o dotację na realizację zadania publicznego do jednostki samorządu terytorialnego. Organ stanowiący jednostki samorządu terytorialnego posiada legitymację jedynie do określenia trybu i szczegółowych kryteriów oceny wniosków o realizację zadania publicznego w ramach inicjatywy lokalnej. </w:t>
            </w:r>
          </w:p>
        </w:tc>
      </w:tr>
    </w:tbl>
    <w:p w:rsidR="00FC4E56" w:rsidRPr="00FC4E56" w:rsidRDefault="00FC4E56" w:rsidP="00FC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FC4E56" w:rsidRPr="00FC4E56" w:rsidRDefault="00FC4E56" w:rsidP="00FC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FC4E56" w:rsidRPr="00FC4E56" w:rsidRDefault="00FC4E56" w:rsidP="00FC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FC4E56" w:rsidRPr="00FC4E56" w:rsidRDefault="00FC4E56" w:rsidP="00FC4E56">
      <w:pPr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Arial" w:eastAsia="Times New Roman" w:hAnsi="Arial" w:cs="Arial"/>
          <w:b/>
          <w:bCs/>
          <w:sz w:val="29"/>
          <w:szCs w:val="29"/>
          <w:lang w:eastAsia="pl-PL"/>
        </w:rPr>
        <w:t>II SA/</w:t>
      </w:r>
      <w:proofErr w:type="spellStart"/>
      <w:r w:rsidRPr="00FC4E56">
        <w:rPr>
          <w:rFonts w:ascii="Arial" w:eastAsia="Times New Roman" w:hAnsi="Arial" w:cs="Arial"/>
          <w:b/>
          <w:bCs/>
          <w:sz w:val="29"/>
          <w:szCs w:val="29"/>
          <w:lang w:eastAsia="pl-PL"/>
        </w:rPr>
        <w:t>Op</w:t>
      </w:r>
      <w:proofErr w:type="spellEnd"/>
      <w:r w:rsidRPr="00FC4E56">
        <w:rPr>
          <w:rFonts w:ascii="Arial" w:eastAsia="Times New Roman" w:hAnsi="Arial" w:cs="Arial"/>
          <w:b/>
          <w:bCs/>
          <w:sz w:val="29"/>
          <w:szCs w:val="29"/>
          <w:lang w:eastAsia="pl-PL"/>
        </w:rPr>
        <w:t xml:space="preserve"> 452/12 - Wyrok WSA w Opolu</w:t>
      </w:r>
    </w:p>
    <w:tbl>
      <w:tblPr>
        <w:tblW w:w="10950" w:type="dxa"/>
        <w:tblCellSpacing w:w="7" w:type="dxa"/>
        <w:tblBorders>
          <w:top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216"/>
        <w:gridCol w:w="8741"/>
      </w:tblGrid>
      <w:tr w:rsidR="00FC4E56" w:rsidRPr="00FC4E56" w:rsidTr="00FC4E56">
        <w:trPr>
          <w:tblCellSpacing w:w="7" w:type="dxa"/>
        </w:trPr>
        <w:tc>
          <w:tcPr>
            <w:tcW w:w="2145" w:type="dxa"/>
            <w:tcBorders>
              <w:top w:val="single" w:sz="8" w:space="0" w:color="EEEEEE"/>
              <w:left w:val="single" w:sz="8" w:space="0" w:color="C0C0C0"/>
              <w:bottom w:val="nil"/>
              <w:right w:val="nil"/>
            </w:tcBorders>
            <w:shd w:val="clear" w:color="auto" w:fill="F4F4F4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tbl>
            <w:tblPr>
              <w:tblW w:w="214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45"/>
            </w:tblGrid>
            <w:tr w:rsidR="00FC4E56" w:rsidRPr="00FC4E5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C4E56" w:rsidRPr="00FC4E56" w:rsidRDefault="00FC4E56" w:rsidP="00FC4E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C4E56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l-PL"/>
                    </w:rPr>
                    <w:t>Data orzeczenia</w:t>
                  </w:r>
                </w:p>
              </w:tc>
            </w:tr>
          </w:tbl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670" w:type="dxa"/>
            <w:tcBorders>
              <w:top w:val="single" w:sz="8" w:space="0" w:color="EEEEEE"/>
              <w:left w:val="single" w:sz="8" w:space="0" w:color="C0C0C0"/>
              <w:bottom w:val="nil"/>
              <w:right w:val="nil"/>
            </w:tcBorders>
            <w:shd w:val="clear" w:color="auto" w:fill="F4F4F4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tbl>
            <w:tblPr>
              <w:tblW w:w="867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70"/>
            </w:tblGrid>
            <w:tr w:rsidR="00FC4E56" w:rsidRPr="00FC4E5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FC4E56" w:rsidRPr="00FC4E56" w:rsidRDefault="00FC4E56" w:rsidP="00FC4E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C4E56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2012-11-29</w:t>
                  </w:r>
                </w:p>
              </w:tc>
            </w:tr>
          </w:tbl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C4E56" w:rsidRPr="00FC4E56" w:rsidRDefault="00FC4E56" w:rsidP="00FC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Arial" w:eastAsia="Times New Roman" w:hAnsi="Arial" w:cs="Arial"/>
          <w:sz w:val="23"/>
          <w:szCs w:val="23"/>
          <w:lang w:eastAsia="pl-PL"/>
        </w:rPr>
        <w:t>Dalej oceniając zaskarżoną uchwalę trzeba zważyć, że zapis § 2 uchwały powtarza wprost uregulowanie art. 19 b ust 1 ustawy. Z kolei § 5 uchwały powtarza zapisy art. 19 d i 19 g ustawy. W § 3 uchwały wbrew regulacji art. 19 b ust. 2 ustawy podjęto się szczegółowej regulacji zasad składania wniosku, a zatem uregulowano materię unormowaną w przepisach powszechnie obowiązujących (K.p.a.) i to z niedopuszczalnymi odrębnościami dotyczącymi formularza, czy terminu załatwienia wniosku. Zapis § 3 uchwały jest zresztą wewnętrznie sprzeczny, bo z jednej strony narzuca składanie wniosku bezpośrednio w sekretariacie (§ 3 ust. 1) a z drugiej dopuszcza drogę pocztową (§ 3 ust. 5). Wszystkie wymienione zapisy uchwały stanowią istotne naruszenie prawa.</w:t>
      </w:r>
    </w:p>
    <w:p w:rsidR="00FC4E56" w:rsidRPr="00FC4E56" w:rsidRDefault="00FC4E56" w:rsidP="00FC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593"/>
        <w:gridCol w:w="5569"/>
      </w:tblGrid>
      <w:tr w:rsidR="00FC4E56" w:rsidRPr="00FC4E56" w:rsidTr="00FC4E56">
        <w:trPr>
          <w:gridAfter w:val="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" w:tgtFrame="_blank" w:history="1"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t xml:space="preserve">NK-N.4131.362.2011.DC - rozstrzygnięcie nadzorcze Woj. </w:t>
              </w:r>
              <w:proofErr w:type="spellStart"/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t>Doln</w:t>
              </w:r>
              <w:proofErr w:type="spellEnd"/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t>. z dnia 09-06-2011</w:t>
              </w:r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br/>
                <w:t>Treść uchwały rady gminy regulującej inicjatywy lokalne</w:t>
              </w:r>
            </w:hyperlink>
          </w:p>
        </w:tc>
      </w:tr>
      <w:tr w:rsidR="00FC4E56" w:rsidRPr="00FC4E56" w:rsidTr="00FC4E5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uchwale regulującej inicjatywy lokalne rada powinna określić kryteria, według których oceniane będą wnioski. Niedopuszczalne jest natomiast wskazywanie poszczególnych ich elementów. </w:t>
            </w:r>
          </w:p>
        </w:tc>
      </w:tr>
    </w:tbl>
    <w:p w:rsidR="00FC4E56" w:rsidRDefault="00FC4E56" w:rsidP="00FC4E56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C4E56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20652E" w:rsidRPr="00FC4E56" w:rsidRDefault="0020652E" w:rsidP="00FC4E5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1"/>
        <w:gridCol w:w="9081"/>
      </w:tblGrid>
      <w:tr w:rsidR="00FC4E56" w:rsidRPr="00FC4E56" w:rsidTr="00FC4E5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tgtFrame="_blank" w:history="1"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t>III SA/</w:t>
              </w:r>
              <w:proofErr w:type="spellStart"/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t>Wr</w:t>
              </w:r>
              <w:proofErr w:type="spellEnd"/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t xml:space="preserve"> 570/11 - wyrok WSA Wrocław z dnia 15-12-2011</w:t>
              </w:r>
              <w:r w:rsidRPr="00FC4E56">
                <w:rPr>
                  <w:rFonts w:ascii="Times New Roman" w:eastAsia="Times New Roman" w:hAnsi="Times New Roman" w:cs="Times New Roman"/>
                  <w:b/>
                  <w:bCs/>
                  <w:color w:val="242424"/>
                  <w:sz w:val="24"/>
                  <w:szCs w:val="24"/>
                  <w:lang w:eastAsia="pl-PL"/>
                </w:rPr>
                <w:br/>
                <w:t>Zakres kompetencji rady gminy do regulowania składania i rozpatrywania wniosków o realizację zadania publicznego w ramach inicjatywy lokalnej</w:t>
              </w:r>
            </w:hyperlink>
          </w:p>
        </w:tc>
      </w:tr>
      <w:tr w:rsidR="00FC4E56" w:rsidRPr="00FC4E56" w:rsidTr="00FC4E5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 Przepis upoważniający radę gminy do wydania aktu prawa miejscowego jest zawarty w art. 19c ust. 1 ustawy z 24 kwietnia 2003 r. o działalności pożytku publicznego i o wolontariacie (</w:t>
            </w:r>
            <w:proofErr w:type="spellStart"/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t.j</w:t>
            </w:r>
            <w:proofErr w:type="spellEnd"/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Dz.U</w:t>
            </w:r>
            <w:proofErr w:type="spellEnd"/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z 2010 r. Nr 234, poz. 1536 ze zm.).</w:t>
            </w:r>
          </w:p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 Artykuł 19b ust. 2 ustawy o działalności pożytku publicznego i o wolontariacie ustalający, że wniosek, o którym mowa w ust. 1, jest wnioskiem w rozumieniu kodeksu postępowania administracyjnego, przesądza o tym, że do postępowania w sprawie załatwienia takiego wniosku stosuje się przepisy kodeksu postępowania administracyjnego.</w:t>
            </w:r>
          </w:p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 Rada gminy, przyjmując, że uprawnieni do składania wniosków są pełnoletni mieszkańcy Gminy M., naruszyła w sposób istotny art. 19b ust. 1 ustawy o działalności pożytku publicznego i o wolontariacie. Według tego przepisu są bowiem uprawnieni mieszkańcy gminy.</w:t>
            </w:r>
          </w:p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 Rada gminy ustaliła w § 1 ust. 5 i w załączniku nr 1 uchwały elementy składowe oraz wzór wniosku o realizację zadania publicznego w ramach inicjatywy lokalnej. (...) Nie było podstaw do podejmowania szczegółowej regulacji w tym zakresie.</w:t>
            </w:r>
          </w:p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 W uchwale uregulowano szczegółowo kwestię pełnomocnictwa. Do wprowadzenia tej regulacji także nie było podstaw prawnych.</w:t>
            </w:r>
          </w:p>
          <w:p w:rsidR="00FC4E56" w:rsidRPr="00FC4E56" w:rsidRDefault="00FC4E56" w:rsidP="00FC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4E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 Artykuł 19c ust. 1 ustawy o działalności pożytku publicznego i o wolontariacie nie może stanowić podstawy do określenia w akcie prawa miejscowego innego terminu załatwienia wniosku niż ustalony w kodeksie postępowania administracyjnego oraz podziału postępowania w takiej sprawie na etapy. </w:t>
            </w:r>
          </w:p>
        </w:tc>
      </w:tr>
    </w:tbl>
    <w:p w:rsidR="00FC4E56" w:rsidRPr="00FC4E56" w:rsidRDefault="00FC4E56" w:rsidP="00FC4E5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FC4E56" w:rsidRPr="00FC4E56" w:rsidRDefault="00FC4E56" w:rsidP="00FC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56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0.5pt;height:152.25pt"/>
        </w:pict>
      </w:r>
    </w:p>
    <w:p w:rsidR="005D4DE9" w:rsidRDefault="005D4DE9"/>
    <w:sectPr w:rsidR="005D4DE9" w:rsidSect="005D4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C4E56"/>
    <w:rsid w:val="0020652E"/>
    <w:rsid w:val="005D4DE9"/>
    <w:rsid w:val="00FC4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4D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C4E5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C4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8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47941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6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7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14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7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03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67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2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8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47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212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7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84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92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89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19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024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etus.umszczecin.local/owa/redir.aspx?C=Y7hs6fHWgEu4FjKoJwyCObZ_ZrpjU9EIgKBomyzB6l-nZU4Iw7NsvsxdSEAYfBHGdRy9RYjZSoU.&amp;URL=https%3a%2f%2fsip.legalis.pl%2fdocument-view.seam%3ftype%3dhtml%26documentId%3dmrswglrsgiydimjvhazdi" TargetMode="External"/><Relationship Id="rId5" Type="http://schemas.openxmlformats.org/officeDocument/2006/relationships/hyperlink" Target="https://cetus.umszczecin.local/owa/redir.aspx?C=Y7hs6fHWgEu4FjKoJwyCObZ_ZrpjU9EIgKBomyzB6l-nZU4Iw7NsvsxdSEAYfBHGdRy9RYjZSoU.&amp;URL=https%3a%2f%2fsip.legalis.pl%2fdocument-view.seam%3ftype%3dhtml%26documentId%3dmrswglrrha2tgmrygu4ts" TargetMode="External"/><Relationship Id="rId4" Type="http://schemas.openxmlformats.org/officeDocument/2006/relationships/hyperlink" Target="https://cetus.umszczecin.local/owa/redir.aspx?C=Y7hs6fHWgEu4FjKoJwyCObZ_ZrpjU9EIgKBomyzB6l-nZU4Iw7NsvsxdSEAYfBHGdRy9RYjZSoU.&amp;URL=https%3a%2f%2fsip.legalis.pl%2fdocument-view.seam%3ftype%3dhtml%26documentId%3dmrswglrrgyydgmjvgmztq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680</Words>
  <Characters>4081</Characters>
  <Application>Microsoft Office Word</Application>
  <DocSecurity>0</DocSecurity>
  <Lines>34</Lines>
  <Paragraphs>9</Paragraphs>
  <ScaleCrop>false</ScaleCrop>
  <Company>um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mborzuch</dc:creator>
  <cp:keywords/>
  <dc:description/>
  <cp:lastModifiedBy>mborzuch</cp:lastModifiedBy>
  <cp:revision>2</cp:revision>
  <dcterms:created xsi:type="dcterms:W3CDTF">2014-06-04T08:17:00Z</dcterms:created>
  <dcterms:modified xsi:type="dcterms:W3CDTF">2014-06-04T08:19:00Z</dcterms:modified>
</cp:coreProperties>
</file>