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37756E">
        <w:rPr>
          <w:rFonts w:ascii="Arial" w:hAnsi="Arial" w:cs="Arial"/>
          <w:bCs w:val="0"/>
          <w:i w:val="0"/>
          <w:iCs w:val="0"/>
          <w:sz w:val="21"/>
          <w:szCs w:val="21"/>
        </w:rPr>
        <w:t>19</w:t>
      </w:r>
      <w:r w:rsidR="0013084E">
        <w:rPr>
          <w:rFonts w:ascii="Arial" w:hAnsi="Arial" w:cs="Arial"/>
          <w:bCs w:val="0"/>
          <w:i w:val="0"/>
          <w:iCs w:val="0"/>
          <w:sz w:val="21"/>
          <w:szCs w:val="21"/>
        </w:rPr>
        <w:t>7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920197">
        <w:rPr>
          <w:rFonts w:ascii="Arial" w:hAnsi="Arial" w:cs="Arial"/>
          <w:b/>
          <w:bCs/>
          <w:sz w:val="21"/>
          <w:szCs w:val="21"/>
        </w:rPr>
        <w:t xml:space="preserve"> 2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B12B6A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B12B6A">
        <w:rPr>
          <w:rFonts w:ascii="Arial" w:hAnsi="Arial" w:cs="Arial"/>
          <w:sz w:val="21"/>
          <w:szCs w:val="21"/>
        </w:rPr>
        <w:t>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B12B6A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B12B6A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7756E">
        <w:rPr>
          <w:rFonts w:ascii="Arial" w:hAnsi="Arial" w:cs="Arial"/>
          <w:sz w:val="21"/>
          <w:szCs w:val="21"/>
        </w:rPr>
        <w:t xml:space="preserve">Pani </w:t>
      </w:r>
      <w:r w:rsidR="0068088C">
        <w:rPr>
          <w:rFonts w:ascii="Arial" w:hAnsi="Arial" w:cs="Arial"/>
          <w:sz w:val="21"/>
          <w:szCs w:val="21"/>
        </w:rPr>
        <w:t>Sylwii Jakubowskiej</w:t>
      </w:r>
      <w:r w:rsidR="006F5130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920197">
        <w:rPr>
          <w:rFonts w:ascii="Arial" w:hAnsi="Arial" w:cs="Arial"/>
          <w:sz w:val="21"/>
          <w:szCs w:val="21"/>
        </w:rPr>
        <w:t xml:space="preserve"> </w:t>
      </w:r>
      <w:r w:rsidR="00920197">
        <w:rPr>
          <w:rFonts w:ascii="Arial" w:hAnsi="Arial" w:cs="Arial"/>
          <w:sz w:val="21"/>
          <w:szCs w:val="21"/>
        </w:rPr>
        <w:br/>
        <w:t>02.06.</w:t>
      </w:r>
      <w:r w:rsidR="0090361D" w:rsidRPr="00B05A88">
        <w:rPr>
          <w:rFonts w:ascii="Arial" w:hAnsi="Arial" w:cs="Arial"/>
          <w:sz w:val="21"/>
          <w:szCs w:val="21"/>
        </w:rPr>
        <w:t>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</w:t>
      </w:r>
      <w:r w:rsidR="0037756E">
        <w:rPr>
          <w:rFonts w:ascii="Arial" w:hAnsi="Arial" w:cs="Arial"/>
          <w:sz w:val="21"/>
          <w:szCs w:val="21"/>
        </w:rPr>
        <w:t>9</w:t>
      </w:r>
      <w:r w:rsidR="0013084E">
        <w:rPr>
          <w:rFonts w:ascii="Arial" w:hAnsi="Arial" w:cs="Arial"/>
          <w:sz w:val="21"/>
          <w:szCs w:val="21"/>
        </w:rPr>
        <w:t>6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  <w:bookmarkStart w:id="0" w:name="_GoBack"/>
      <w:bookmarkEnd w:id="0"/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ń publicznego ogłoszenia </w:t>
      </w:r>
      <w:proofErr w:type="gramStart"/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4976CE">
        <w:rPr>
          <w:rStyle w:val="Brak"/>
          <w:rFonts w:ascii="Arial" w:hAnsi="Arial" w:cs="Arial"/>
          <w:bCs w:val="0"/>
          <w:sz w:val="21"/>
          <w:szCs w:val="21"/>
          <w:u w:val="single"/>
        </w:rPr>
        <w:t>03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920197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proofErr w:type="gramEnd"/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3084E"/>
    <w:rsid w:val="00173743"/>
    <w:rsid w:val="001773D2"/>
    <w:rsid w:val="001A4C85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5496C"/>
    <w:rsid w:val="00366F01"/>
    <w:rsid w:val="0037756E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976CE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8088C"/>
    <w:rsid w:val="006F2D6F"/>
    <w:rsid w:val="006F5130"/>
    <w:rsid w:val="00714466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20197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12B6A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B70D6"/>
    <w:rsid w:val="00EF79F0"/>
    <w:rsid w:val="00F04340"/>
    <w:rsid w:val="00F16917"/>
    <w:rsid w:val="00F5157F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D009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117</cp:revision>
  <cp:lastPrinted>2026-04-14T11:06:00Z</cp:lastPrinted>
  <dcterms:created xsi:type="dcterms:W3CDTF">2020-12-14T12:32:00Z</dcterms:created>
  <dcterms:modified xsi:type="dcterms:W3CDTF">2026-06-03T09:14:00Z</dcterms:modified>
</cp:coreProperties>
</file>